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62" w:rsidRDefault="007A4D62" w:rsidP="007A4D62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  <w:lang w:val="uk-UA"/>
        </w:rPr>
        <w:t xml:space="preserve">Тема: </w:t>
      </w:r>
      <w:r>
        <w:rPr>
          <w:bCs/>
          <w:color w:val="000000"/>
          <w:lang w:val="uk-UA"/>
        </w:rPr>
        <w:t>П</w:t>
      </w:r>
      <w:r>
        <w:rPr>
          <w:lang w:val="uk-UA"/>
        </w:rPr>
        <w:t>равила</w:t>
      </w:r>
      <w:r>
        <w:t xml:space="preserve"> </w:t>
      </w:r>
      <w:r>
        <w:rPr>
          <w:lang w:val="uk-UA"/>
        </w:rPr>
        <w:t>техніки</w:t>
      </w:r>
      <w:r>
        <w:t xml:space="preserve"> </w:t>
      </w:r>
      <w:r>
        <w:rPr>
          <w:lang w:val="uk-UA"/>
        </w:rPr>
        <w:t>безпеки</w:t>
      </w:r>
      <w:r>
        <w:t xml:space="preserve"> при </w:t>
      </w:r>
      <w:r>
        <w:rPr>
          <w:lang w:val="uk-UA"/>
        </w:rPr>
        <w:t>роботі</w:t>
      </w:r>
      <w:r>
        <w:t xml:space="preserve"> в </w:t>
      </w:r>
      <w:r>
        <w:rPr>
          <w:lang w:val="uk-UA"/>
        </w:rPr>
        <w:t>лабораторії, основне лабораторне обладнання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lang w:val="uk-UA"/>
        </w:rPr>
      </w:pP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>Мета</w:t>
      </w:r>
      <w:r>
        <w:rPr>
          <w:color w:val="000000"/>
          <w:lang w:val="uk-UA"/>
        </w:rPr>
        <w:t>: ознайомитись з правилами техніки безпеки, основним лабораторним обладнанням, розчинами та їх приготуванням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jc w:val="both"/>
        <w:rPr>
          <w:b/>
          <w:lang w:val="uk-UA"/>
        </w:rPr>
      </w:pP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lang w:val="uk-UA"/>
        </w:rPr>
        <w:t>Матеріали і обладнання</w:t>
      </w:r>
      <w:r>
        <w:rPr>
          <w:lang w:val="uk-UA"/>
        </w:rPr>
        <w:t xml:space="preserve">: інструкційні картки, підручники, правила техніки безпеки, лабораторний посуд, </w:t>
      </w:r>
    </w:p>
    <w:p w:rsidR="007A4D62" w:rsidRDefault="007A4D62" w:rsidP="007A4D62">
      <w:pPr>
        <w:ind w:left="360"/>
        <w:jc w:val="both"/>
        <w:rPr>
          <w:b/>
          <w:i/>
          <w:lang w:val="uk-UA"/>
        </w:rPr>
      </w:pP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Хід роботи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Перед початком роботи слід ознайомитись з технікою безпеки при роботі в лабораторії.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</w:p>
    <w:p w:rsidR="007A4D62" w:rsidRPr="002C2E03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color w:val="000000"/>
          <w:lang w:val="uk-UA"/>
        </w:rPr>
        <w:t xml:space="preserve">Для нагрівання розчинів у хімічній лабораторії слід використовувати лише стандартизовані нагрівні прилади: газові пальники </w:t>
      </w:r>
      <w:proofErr w:type="spellStart"/>
      <w:r>
        <w:rPr>
          <w:color w:val="000000"/>
          <w:lang w:val="uk-UA"/>
        </w:rPr>
        <w:t>Бунзена</w:t>
      </w:r>
      <w:proofErr w:type="spellEnd"/>
      <w:r>
        <w:rPr>
          <w:color w:val="000000"/>
          <w:lang w:val="uk-UA"/>
        </w:rPr>
        <w:t xml:space="preserve"> або Теклю, спиртівки, водяні та піщані бані, муфельні печі (рис. 1.1).</w:t>
      </w:r>
    </w:p>
    <w:p w:rsidR="007A4D62" w:rsidRDefault="007A4D62" w:rsidP="007A4D62">
      <w:pPr>
        <w:ind w:firstLine="720"/>
        <w:jc w:val="both"/>
        <w:rPr>
          <w:color w:val="000000"/>
          <w:lang w:val="uk-UA"/>
        </w:rPr>
      </w:pPr>
    </w:p>
    <w:p w:rsidR="007A4D62" w:rsidRDefault="007A4D62" w:rsidP="007A4D62">
      <w:pPr>
        <w:ind w:firstLine="720"/>
        <w:jc w:val="both"/>
        <w:rPr>
          <w:color w:val="000000"/>
          <w:lang w:val="uk-UA"/>
        </w:rPr>
      </w:pPr>
      <w:r>
        <w:rPr>
          <w:noProof/>
        </w:rPr>
        <w:drawing>
          <wp:inline distT="0" distB="0" distL="0" distR="0" wp14:anchorId="555194F0" wp14:editId="35CBA3A3">
            <wp:extent cx="5486400" cy="20764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D62" w:rsidRDefault="007A4D62" w:rsidP="007A4D62">
      <w:pPr>
        <w:shd w:val="clear" w:color="auto" w:fill="FFFFFF"/>
        <w:spacing w:before="234" w:line="205" w:lineRule="exact"/>
        <w:ind w:left="25" w:hanging="25"/>
        <w:jc w:val="center"/>
        <w:rPr>
          <w:b/>
        </w:rPr>
      </w:pPr>
      <w:r>
        <w:rPr>
          <w:b/>
          <w:bCs/>
          <w:iCs/>
          <w:lang w:val="uk-UA"/>
        </w:rPr>
        <w:t>Рис. 1.1 Нагрівні прилади:</w:t>
      </w:r>
    </w:p>
    <w:p w:rsidR="007A4D62" w:rsidRDefault="007A4D62" w:rsidP="007A4D62">
      <w:pPr>
        <w:ind w:hanging="25"/>
        <w:jc w:val="center"/>
        <w:rPr>
          <w:color w:val="000000"/>
          <w:lang w:val="uk-UA"/>
        </w:rPr>
      </w:pPr>
      <w:r>
        <w:rPr>
          <w:lang w:val="uk-UA"/>
        </w:rPr>
        <w:t xml:space="preserve">1 - газовий пальник Теклю; 2 - газовий пальник </w:t>
      </w:r>
      <w:proofErr w:type="spellStart"/>
      <w:r>
        <w:rPr>
          <w:lang w:val="uk-UA"/>
        </w:rPr>
        <w:t>Бунзена</w:t>
      </w:r>
      <w:proofErr w:type="spellEnd"/>
      <w:r>
        <w:rPr>
          <w:lang w:val="uk-UA"/>
        </w:rPr>
        <w:t>; З - спиртівка; 4 - водяна баня; 5 - піщана баня; 6 - муфельна піч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Хімічний посуд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lang w:val="uk-UA"/>
        </w:rPr>
        <w:t>У хімічних лабораторіях використовують різноманітний посуд загального призначення (рис. 1.2), матеріал та форма якого зумовлені функціональним призначенням. Підготовка посуду до роботи є важливим етапом; від чистоти посуду залежить точність аналізів.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lang w:val="uk-UA"/>
        </w:rPr>
        <w:t>Перед миттям з посуду видаляють залишки розчинів або осадів, промивають спочатку теплою, а потім холодною водопровідною водою. Забруднені місця протирають йоржиком чи скляною паличкою з насадкою з гумової трубки. З цією метою забороняється використовувати пісок та інші абразивні матеріали.</w:t>
      </w:r>
    </w:p>
    <w:p w:rsidR="007A4D62" w:rsidRDefault="007A4D62" w:rsidP="007A4D62">
      <w:pPr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Якщо посуд забруднений жирними речовинами, то до теплої води можна додавати</w:t>
      </w:r>
      <w:r w:rsidRPr="002C2E03">
        <w:rPr>
          <w:color w:val="000000"/>
        </w:rPr>
        <w:t xml:space="preserve"> </w:t>
      </w:r>
      <w:r>
        <w:rPr>
          <w:color w:val="000000"/>
          <w:lang w:val="uk-UA"/>
        </w:rPr>
        <w:t xml:space="preserve">мийні засоби: рідке мило, 30-40%-й розчин лугу, соду, пральні порошки тощо. Для очищення посуду від органічних речовин використовують розчинники: ефір, бензин, толуол, бензол, ацетон, спирт </w:t>
      </w:r>
      <w:r>
        <w:rPr>
          <w:b/>
          <w:bCs/>
          <w:color w:val="000000"/>
          <w:lang w:val="uk-UA"/>
        </w:rPr>
        <w:t xml:space="preserve">(Увага! Вони вогненебезпечні). 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lang w:val="uk-UA"/>
        </w:rPr>
        <w:t>Добре очищений та вимитий посуд два-три рази споліскують дистильованою водою. Якщо при перевертанні на внутрішніх стінках не залишається крапель води, а вона збігає плівкою, то посуд вимитий якісно.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Щоб дістати абсолютно чистий посуд, його додатково миють 10%-м розчином хромової суміші (розчин К</w:t>
      </w:r>
      <w:r>
        <w:rPr>
          <w:color w:val="000000"/>
          <w:vertAlign w:val="subscript"/>
          <w:lang w:val="uk-UA"/>
        </w:rPr>
        <w:t>2</w:t>
      </w:r>
      <w:r>
        <w:rPr>
          <w:color w:val="000000"/>
          <w:lang w:val="uk-UA"/>
        </w:rPr>
        <w:t>Сг</w:t>
      </w:r>
      <w:r>
        <w:rPr>
          <w:color w:val="000000"/>
          <w:vertAlign w:val="subscript"/>
          <w:lang w:val="uk-UA"/>
        </w:rPr>
        <w:t>2</w:t>
      </w:r>
      <w:r>
        <w:rPr>
          <w:color w:val="000000"/>
          <w:lang w:val="uk-UA"/>
        </w:rPr>
        <w:t>0</w:t>
      </w:r>
      <w:r>
        <w:rPr>
          <w:color w:val="000000"/>
          <w:vertAlign w:val="subscript"/>
          <w:lang w:val="uk-UA"/>
        </w:rPr>
        <w:t>7</w:t>
      </w:r>
      <w:r>
        <w:rPr>
          <w:color w:val="000000"/>
          <w:lang w:val="uk-UA"/>
        </w:rPr>
        <w:t xml:space="preserve"> у концентрованій Н</w:t>
      </w:r>
      <w:r>
        <w:rPr>
          <w:color w:val="000000"/>
          <w:vertAlign w:val="subscript"/>
          <w:lang w:val="uk-UA"/>
        </w:rPr>
        <w:t>2</w:t>
      </w:r>
      <w:r>
        <w:rPr>
          <w:color w:val="000000"/>
          <w:lang w:val="en-US"/>
        </w:rPr>
        <w:t>S</w:t>
      </w:r>
      <w:r>
        <w:rPr>
          <w:color w:val="000000"/>
          <w:lang w:val="uk-UA"/>
        </w:rPr>
        <w:t>0</w:t>
      </w:r>
      <w:r>
        <w:rPr>
          <w:color w:val="000000"/>
          <w:vertAlign w:val="subscript"/>
          <w:lang w:val="uk-UA"/>
        </w:rPr>
        <w:t>4</w:t>
      </w:r>
      <w:r>
        <w:rPr>
          <w:color w:val="000000"/>
          <w:lang w:val="uk-UA"/>
        </w:rPr>
        <w:t xml:space="preserve">), а потім пропарюють над киплячою водою. Для цього в попередньо вимитий посуд наливають ~ 3/4 об'єму хромової суміші, обережно споліскують стінки, зливають хромову суміш у склянку для зберігання. Залишки хромової суміші ретельно змивають великою кількістю води і споліскують </w:t>
      </w:r>
      <w:r>
        <w:rPr>
          <w:color w:val="000000"/>
          <w:lang w:val="uk-UA"/>
        </w:rPr>
        <w:lastRenderedPageBreak/>
        <w:t>посудину дистильованою водою. В разі потреби таку обробку повторюють декілька разів. Ефективність очищення посуду підвищується при збільшенні тривалості контакту з хромовою сумішшю або при її нагріванні до 40-50 С</w:t>
      </w:r>
      <w:r>
        <w:rPr>
          <w:color w:val="000000"/>
          <w:vertAlign w:val="superscript"/>
          <w:lang w:val="uk-UA"/>
        </w:rPr>
        <w:t>0</w:t>
      </w:r>
      <w:r>
        <w:rPr>
          <w:color w:val="000000"/>
          <w:lang w:val="uk-UA"/>
        </w:rPr>
        <w:t xml:space="preserve">. 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>Вимитий посуд висушують від залишків дистильованої води в сушильній шафі або при звичайній температурі на спеціальній дошці з кілочками чи на аркуші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color w:val="000000"/>
          <w:lang w:val="uk-UA"/>
        </w:rPr>
      </w:pPr>
      <w:r>
        <w:rPr>
          <w:noProof/>
        </w:rPr>
        <w:drawing>
          <wp:inline distT="0" distB="0" distL="0" distR="0" wp14:anchorId="605185FF" wp14:editId="328E630D">
            <wp:extent cx="5829300" cy="3543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iCs/>
          <w:color w:val="000000"/>
          <w:lang w:val="uk-UA"/>
        </w:rPr>
        <w:t>Рис. 1.2. Хімічний посуд та лабораторні пристосування: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lang w:val="uk-UA"/>
        </w:rPr>
        <w:t xml:space="preserve">1 - </w:t>
      </w:r>
      <w:proofErr w:type="spellStart"/>
      <w:r>
        <w:rPr>
          <w:color w:val="000000"/>
          <w:lang w:val="uk-UA"/>
        </w:rPr>
        <w:t>випарювальні</w:t>
      </w:r>
      <w:proofErr w:type="spellEnd"/>
      <w:r>
        <w:rPr>
          <w:color w:val="000000"/>
          <w:lang w:val="uk-UA"/>
        </w:rPr>
        <w:t xml:space="preserve"> чашки; 2 - колби </w:t>
      </w:r>
      <w:proofErr w:type="spellStart"/>
      <w:r>
        <w:rPr>
          <w:color w:val="000000"/>
          <w:lang w:val="uk-UA"/>
        </w:rPr>
        <w:t>Ерленмейера</w:t>
      </w:r>
      <w:proofErr w:type="spellEnd"/>
      <w:r>
        <w:rPr>
          <w:color w:val="000000"/>
          <w:lang w:val="uk-UA"/>
        </w:rPr>
        <w:t xml:space="preserve">; 3 - колба </w:t>
      </w:r>
      <w:proofErr w:type="spellStart"/>
      <w:r>
        <w:rPr>
          <w:color w:val="000000"/>
          <w:lang w:val="uk-UA"/>
        </w:rPr>
        <w:t>Бунзена</w:t>
      </w:r>
      <w:proofErr w:type="spellEnd"/>
      <w:r>
        <w:rPr>
          <w:color w:val="000000"/>
          <w:lang w:val="uk-UA"/>
        </w:rPr>
        <w:t>; 4 - хімічні стакани;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lang w:val="uk-UA"/>
        </w:rPr>
        <w:t xml:space="preserve">5 - склянка Вульфа; 6 - лійка </w:t>
      </w:r>
      <w:proofErr w:type="spellStart"/>
      <w:r>
        <w:rPr>
          <w:color w:val="000000"/>
          <w:lang w:val="uk-UA"/>
        </w:rPr>
        <w:t>Бюхнера</w:t>
      </w:r>
      <w:proofErr w:type="spellEnd"/>
      <w:r>
        <w:rPr>
          <w:color w:val="000000"/>
          <w:lang w:val="uk-UA"/>
        </w:rPr>
        <w:t>; 7 - затискачі Гофмана та Мора; 8 - фарфорова ступка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lang w:val="uk-UA"/>
        </w:rPr>
        <w:t xml:space="preserve">з товкачиком; 9 - </w:t>
      </w:r>
      <w:proofErr w:type="spellStart"/>
      <w:r>
        <w:rPr>
          <w:color w:val="000000"/>
          <w:lang w:val="uk-UA"/>
        </w:rPr>
        <w:t>круглодонна</w:t>
      </w:r>
      <w:proofErr w:type="spellEnd"/>
      <w:r>
        <w:rPr>
          <w:color w:val="000000"/>
          <w:lang w:val="uk-UA"/>
        </w:rPr>
        <w:t xml:space="preserve"> колба; 10 - плоскодонна колба; 11 - кристалізатор;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lang w:val="uk-UA"/>
        </w:rPr>
        <w:t>12-піпетка; 13-ділильна лійка; 14-пробірка; 15-тигель з кришкою; 16-реторта;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lang w:val="uk-UA"/>
        </w:rPr>
        <w:t>17 - бюретка; 18 - бюкс; 19 - годинникове скельце; 20 - тигельні щипці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lang w:val="uk-UA"/>
        </w:rPr>
        <w:t>Хімічні реактиви та вимоги до них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lang w:val="uk-UA"/>
        </w:rPr>
        <w:t>Основною вимогою до хімічних реактивів є їх чистота. При використанні забруд</w:t>
      </w:r>
      <w:r>
        <w:rPr>
          <w:color w:val="000000"/>
          <w:lang w:val="uk-UA"/>
        </w:rPr>
        <w:softHyphen/>
        <w:t>нених великою кількістю домішок реактивів результати експерименту виходять непра</w:t>
      </w:r>
      <w:r>
        <w:rPr>
          <w:color w:val="000000"/>
          <w:lang w:val="uk-UA"/>
        </w:rPr>
        <w:softHyphen/>
        <w:t>вильними.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lang w:val="uk-UA"/>
        </w:rPr>
        <w:t>За ступенем чистоти хімічні реактиви класифікують на: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lang w:val="uk-UA"/>
        </w:rPr>
        <w:t>- технічні (т.) - вміст домішок понад 2%;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lang w:val="uk-UA"/>
        </w:rPr>
        <w:t>- чисті (ч.) - вміст домішок до 2%;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lang w:val="uk-UA"/>
        </w:rPr>
        <w:t>- чисті для аналізу (ч. д. а.) - вміст домішок до 1 %;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lang w:val="uk-UA"/>
        </w:rPr>
        <w:t>-  хімічно чисті (х. ч.) - вміст домішок до 0,1 %;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lang w:val="uk-UA"/>
        </w:rPr>
        <w:t>- особливо чисті (ос. ч.) - вміст домішок 0,01-0,00001%.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lang w:val="uk-UA"/>
        </w:rPr>
        <w:t>Чистота кожного реактиву регламентується технічними умовами або державним стандартом на нього.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lang w:val="uk-UA"/>
        </w:rPr>
        <w:t xml:space="preserve">У хімічному аналізі не слід користуватися реактивами без етикеток або тими, для яких не зазначено ступінь їх чистоти. Для приготування стандартних (титрованих) </w:t>
      </w:r>
      <w:proofErr w:type="spellStart"/>
      <w:r>
        <w:rPr>
          <w:color w:val="000000"/>
          <w:lang w:val="uk-UA"/>
        </w:rPr>
        <w:t>роз</w:t>
      </w:r>
      <w:r>
        <w:rPr>
          <w:color w:val="000000"/>
          <w:lang w:val="uk-UA"/>
        </w:rPr>
        <w:softHyphen/>
        <w:t>гинів</w:t>
      </w:r>
      <w:proofErr w:type="spellEnd"/>
      <w:r>
        <w:rPr>
          <w:color w:val="000000"/>
          <w:lang w:val="uk-UA"/>
        </w:rPr>
        <w:t xml:space="preserve"> потрібно використовувати реактиви "х. ч."; розчини з наближеною концентрацією (робочі розчини) можна готувати з реактивів марки "ч".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lang w:val="uk-UA"/>
        </w:rPr>
        <w:t>Склянки з розчинами реактивів повинні мати етикетку, де вказується формула речовини, її точна або наближена концентрація та дата приготування. Склянки з розчинами реактивів повинні бути герметично закритими.</w:t>
      </w:r>
    </w:p>
    <w:p w:rsidR="007A4D62" w:rsidRDefault="007A4D62" w:rsidP="007A4D62">
      <w:pPr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Зберігають розчини реактивів у шафах, на полицях лабораторних столів. Леткі та з сильним запахом речовини (аміак, сірководень, органічні розчинники та їхні похідні) зберігати у витяжній шафі. Деякі реактиви (КІ, І</w:t>
      </w:r>
      <w:r>
        <w:rPr>
          <w:color w:val="000000"/>
          <w:vertAlign w:val="subscript"/>
          <w:lang w:val="uk-UA"/>
        </w:rPr>
        <w:t>2</w:t>
      </w:r>
      <w:r>
        <w:rPr>
          <w:color w:val="000000"/>
          <w:lang w:val="uk-UA"/>
        </w:rPr>
        <w:t>, КМп0</w:t>
      </w:r>
      <w:r>
        <w:rPr>
          <w:color w:val="000000"/>
          <w:vertAlign w:val="subscript"/>
          <w:lang w:val="uk-UA"/>
        </w:rPr>
        <w:t>4</w:t>
      </w:r>
      <w:r>
        <w:rPr>
          <w:color w:val="000000"/>
          <w:lang w:val="uk-UA"/>
        </w:rPr>
        <w:t>, К</w:t>
      </w:r>
      <w:r>
        <w:rPr>
          <w:color w:val="000000"/>
          <w:vertAlign w:val="subscript"/>
          <w:lang w:val="uk-UA"/>
        </w:rPr>
        <w:t>2</w:t>
      </w:r>
      <w:r>
        <w:rPr>
          <w:color w:val="000000"/>
          <w:lang w:val="uk-UA"/>
        </w:rPr>
        <w:t>Сг</w:t>
      </w:r>
      <w:r>
        <w:rPr>
          <w:color w:val="000000"/>
          <w:vertAlign w:val="subscript"/>
          <w:lang w:val="uk-UA"/>
        </w:rPr>
        <w:t>2</w:t>
      </w:r>
      <w:r>
        <w:rPr>
          <w:color w:val="000000"/>
          <w:lang w:val="uk-UA"/>
        </w:rPr>
        <w:t>0</w:t>
      </w:r>
      <w:r>
        <w:rPr>
          <w:color w:val="000000"/>
          <w:vertAlign w:val="subscript"/>
          <w:lang w:val="uk-UA"/>
        </w:rPr>
        <w:t>7</w:t>
      </w:r>
      <w:r>
        <w:rPr>
          <w:color w:val="000000"/>
          <w:lang w:val="uk-UA"/>
        </w:rPr>
        <w:t xml:space="preserve"> тощо), що розкладаються під дією сонячного проміння, потрібно зберігати в склянках з темного скла.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lang w:val="uk-UA"/>
        </w:rPr>
        <w:t>Розчини та їх приготування</w:t>
      </w:r>
    </w:p>
    <w:p w:rsidR="007A4D62" w:rsidRPr="002C2E03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color w:val="000000"/>
          <w:lang w:val="uk-UA"/>
        </w:rPr>
        <w:t xml:space="preserve">У практиці хімічного аналізу в основному використовують водні розчини хімічних </w:t>
      </w:r>
      <w:proofErr w:type="spellStart"/>
      <w:r>
        <w:rPr>
          <w:color w:val="000000"/>
          <w:lang w:val="uk-UA"/>
        </w:rPr>
        <w:t>сполук</w:t>
      </w:r>
      <w:proofErr w:type="spellEnd"/>
      <w:r>
        <w:rPr>
          <w:color w:val="000000"/>
          <w:lang w:val="uk-UA"/>
        </w:rPr>
        <w:t xml:space="preserve"> (реактивів). За призначенням бувають розчини з наближеною (робочі) та точною концентрацією (титровані). Робочі розчини використовують для проведення загальних підготовчих операцій аналізу (</w:t>
      </w:r>
      <w:proofErr w:type="spellStart"/>
      <w:r>
        <w:rPr>
          <w:color w:val="000000"/>
          <w:lang w:val="uk-UA"/>
        </w:rPr>
        <w:t>озолення</w:t>
      </w:r>
      <w:proofErr w:type="spellEnd"/>
      <w:r>
        <w:rPr>
          <w:color w:val="000000"/>
          <w:lang w:val="uk-UA"/>
        </w:rPr>
        <w:t xml:space="preserve"> рослинного матеріалу, створення певного середовища тощо). Ці розчини можуть бути досить концентрованими. Титровані розчини, як правило, використовують на завершальній стадії аналізу для одержання кількісних показників. Такі розчини, звичайно, досить розбавлені.</w:t>
      </w:r>
    </w:p>
    <w:p w:rsidR="007A4D62" w:rsidRPr="002C2E03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color w:val="000000"/>
          <w:lang w:val="uk-UA"/>
        </w:rPr>
        <w:t>Найчастіше розчини готують змішуванням певної маси реактиву (наважки) з розрахованим об'ємом дистильованої води. Для приготування робочих розчинів достатньо реактив зважити на технічних терезах з точністю ±</w:t>
      </w:r>
      <w:smartTag w:uri="urn:schemas-microsoft-com:office:smarttags" w:element="metricconverter">
        <w:smartTagPr>
          <w:attr w:name="ProductID" w:val="0,01 г"/>
        </w:smartTagPr>
        <w:r>
          <w:rPr>
            <w:color w:val="000000"/>
            <w:lang w:val="uk-UA"/>
          </w:rPr>
          <w:t>0,01 г</w:t>
        </w:r>
      </w:smartTag>
      <w:r>
        <w:rPr>
          <w:color w:val="000000"/>
          <w:lang w:val="uk-UA"/>
        </w:rPr>
        <w:t>, а воду відміряти мірним циліндром з точністю ±0,1-1,0 мл. Оскільки робочі розчини готують із реактивів кваліфікації "ч", їх рекомендується фільтрувати.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lang w:val="uk-UA"/>
        </w:rPr>
        <w:t>Концентровані робочі розчини кислот та лугів готують у термостійкому посуді, оскільки вони здатні розігріватися при взаємодії з водою. Тому, розбавляючи сильні кислоти (особливо сірчану), їх слід вливати у воду, а не навпаки.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lang w:val="uk-UA"/>
        </w:rPr>
        <w:t>При приготуванні титрованих розчинів наважку реактиву зважують на аналітичних або електронних терезах з точністю до ±</w:t>
      </w:r>
      <w:smartTag w:uri="urn:schemas-microsoft-com:office:smarttags" w:element="metricconverter">
        <w:smartTagPr>
          <w:attr w:name="ProductID" w:val="0,0001 г"/>
        </w:smartTagPr>
        <w:r>
          <w:rPr>
            <w:color w:val="000000"/>
            <w:lang w:val="uk-UA"/>
          </w:rPr>
          <w:t>0,0001 г</w:t>
        </w:r>
      </w:smartTag>
      <w:r>
        <w:rPr>
          <w:color w:val="000000"/>
          <w:lang w:val="uk-UA"/>
        </w:rPr>
        <w:t>, а об'єм розчину відмірюють мірною колбою.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lang w:val="uk-UA"/>
        </w:rPr>
        <w:t>Посуд, в якому зберігають розчин, обов'язково повинен мати етикетку, на якій зазначають назву або формулу реактиву, його концентрацію та дату приготування (наприклад, Н</w:t>
      </w:r>
      <w:r>
        <w:rPr>
          <w:color w:val="000000"/>
          <w:vertAlign w:val="subscript"/>
          <w:lang w:val="uk-UA"/>
        </w:rPr>
        <w:t>2</w:t>
      </w:r>
      <w:r>
        <w:rPr>
          <w:color w:val="000000"/>
          <w:lang w:val="en-US"/>
        </w:rPr>
        <w:t>S</w:t>
      </w:r>
      <w:r>
        <w:rPr>
          <w:color w:val="000000"/>
          <w:lang w:val="uk-UA"/>
        </w:rPr>
        <w:t>0</w:t>
      </w:r>
      <w:r>
        <w:rPr>
          <w:color w:val="000000"/>
          <w:vertAlign w:val="subscript"/>
          <w:lang w:val="uk-UA"/>
        </w:rPr>
        <w:t>4</w:t>
      </w:r>
      <w:r>
        <w:rPr>
          <w:color w:val="000000"/>
          <w:lang w:val="uk-UA"/>
        </w:rPr>
        <w:t>, 10%, 01.10.2008).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Концентрацією розчину прийнято вважати ту кількість хімічної сполуки, яка міститься у певній масі або певному об'ємі розчину. В агрохімічному аналізі найчастіше для характеристики робочих розчинів використовують концентрацію у відсотках, а для титрованих - молярну, </w:t>
      </w:r>
      <w:proofErr w:type="spellStart"/>
      <w:r>
        <w:rPr>
          <w:color w:val="000000"/>
          <w:lang w:val="uk-UA"/>
        </w:rPr>
        <w:t>моляльну</w:t>
      </w:r>
      <w:proofErr w:type="spellEnd"/>
      <w:r>
        <w:rPr>
          <w:color w:val="000000"/>
          <w:lang w:val="uk-UA"/>
        </w:rPr>
        <w:t>, нормальну та титр розчину.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b/>
          <w:bCs/>
          <w:color w:val="000000"/>
          <w:lang w:val="uk-UA"/>
        </w:rPr>
        <w:t xml:space="preserve">Молярна </w:t>
      </w:r>
      <w:r>
        <w:rPr>
          <w:color w:val="000000"/>
          <w:lang w:val="uk-UA"/>
        </w:rPr>
        <w:t>- кількість молів розчиненої речовини в 1000 мл розчину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color w:val="000000"/>
          <w:lang w:val="uk-UA"/>
        </w:rPr>
      </w:pPr>
      <w:proofErr w:type="spellStart"/>
      <w:r>
        <w:rPr>
          <w:b/>
          <w:bCs/>
          <w:color w:val="000000"/>
          <w:lang w:val="uk-UA"/>
        </w:rPr>
        <w:t>Моляльна</w:t>
      </w:r>
      <w:proofErr w:type="spellEnd"/>
      <w:r>
        <w:rPr>
          <w:b/>
          <w:bCs/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- кількість молів розчиненої речовини в </w:t>
      </w:r>
      <w:smartTag w:uri="urn:schemas-microsoft-com:office:smarttags" w:element="metricconverter">
        <w:smartTagPr>
          <w:attr w:name="ProductID" w:val="1000 г"/>
        </w:smartTagPr>
        <w:r>
          <w:rPr>
            <w:color w:val="000000"/>
            <w:lang w:val="uk-UA"/>
          </w:rPr>
          <w:t>1000 г</w:t>
        </w:r>
      </w:smartTag>
      <w:r>
        <w:rPr>
          <w:color w:val="000000"/>
          <w:lang w:val="uk-UA"/>
        </w:rPr>
        <w:t xml:space="preserve"> розчинника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Нормальна </w:t>
      </w:r>
      <w:r>
        <w:rPr>
          <w:color w:val="000000"/>
          <w:lang w:val="uk-UA"/>
        </w:rPr>
        <w:t xml:space="preserve">(еквівалентна) - н. </w:t>
      </w:r>
      <w:r w:rsidRPr="002C2E03">
        <w:rPr>
          <w:color w:val="000000"/>
        </w:rPr>
        <w:t>(</w:t>
      </w:r>
      <w:r>
        <w:rPr>
          <w:color w:val="000000"/>
          <w:lang w:val="en-US"/>
        </w:rPr>
        <w:t>N</w:t>
      </w:r>
      <w:r w:rsidRPr="002C2E03">
        <w:rPr>
          <w:color w:val="000000"/>
        </w:rPr>
        <w:t xml:space="preserve">) </w:t>
      </w:r>
      <w:r>
        <w:rPr>
          <w:color w:val="000000"/>
          <w:lang w:val="uk-UA"/>
        </w:rPr>
        <w:t>кількість грам-</w:t>
      </w:r>
      <w:proofErr w:type="spellStart"/>
      <w:r>
        <w:rPr>
          <w:color w:val="000000"/>
          <w:lang w:val="uk-UA"/>
        </w:rPr>
        <w:t>еквіва</w:t>
      </w:r>
      <w:proofErr w:type="spellEnd"/>
      <w:r w:rsidRPr="002C2E03">
        <w:rPr>
          <w:color w:val="000000"/>
        </w:rPr>
        <w:t>-</w:t>
      </w:r>
      <w:proofErr w:type="spellStart"/>
      <w:r>
        <w:rPr>
          <w:color w:val="000000"/>
          <w:lang w:val="uk-UA"/>
        </w:rPr>
        <w:t>лентів</w:t>
      </w:r>
      <w:proofErr w:type="spellEnd"/>
      <w:r>
        <w:rPr>
          <w:color w:val="000000"/>
          <w:lang w:val="uk-UA"/>
        </w:rPr>
        <w:t xml:space="preserve"> розчиненої </w:t>
      </w:r>
      <w:proofErr w:type="spellStart"/>
      <w:r>
        <w:rPr>
          <w:color w:val="000000"/>
          <w:lang w:val="uk-UA"/>
        </w:rPr>
        <w:t>речови</w:t>
      </w:r>
      <w:proofErr w:type="spellEnd"/>
      <w:r w:rsidRPr="002C2E03">
        <w:rPr>
          <w:color w:val="000000"/>
        </w:rPr>
        <w:t>-</w:t>
      </w:r>
      <w:proofErr w:type="spellStart"/>
      <w:r>
        <w:rPr>
          <w:color w:val="000000"/>
          <w:lang w:val="uk-UA"/>
        </w:rPr>
        <w:t>ни</w:t>
      </w:r>
      <w:proofErr w:type="spellEnd"/>
      <w:r>
        <w:rPr>
          <w:color w:val="000000"/>
          <w:lang w:val="uk-UA"/>
        </w:rPr>
        <w:t xml:space="preserve"> в 1000 мл розчину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Титр </w:t>
      </w:r>
      <w:r>
        <w:rPr>
          <w:color w:val="000000"/>
          <w:lang w:val="uk-UA"/>
        </w:rPr>
        <w:t>- кількість грамів речовини в 1 мл розчину</w:t>
      </w:r>
    </w:p>
    <w:p w:rsidR="007A4D62" w:rsidRDefault="007A4D62" w:rsidP="007A4D6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Відсоткова </w:t>
      </w:r>
      <w:r>
        <w:rPr>
          <w:color w:val="000000"/>
          <w:lang w:val="uk-UA"/>
        </w:rPr>
        <w:t xml:space="preserve">- кількість грамів певного </w:t>
      </w:r>
      <w:proofErr w:type="spellStart"/>
      <w:r>
        <w:rPr>
          <w:color w:val="000000"/>
          <w:lang w:val="uk-UA"/>
        </w:rPr>
        <w:t>компонен</w:t>
      </w:r>
      <w:proofErr w:type="spellEnd"/>
      <w:r>
        <w:rPr>
          <w:color w:val="000000"/>
          <w:lang w:val="uk-UA"/>
        </w:rPr>
        <w:t xml:space="preserve">-та, що міститься в </w:t>
      </w:r>
      <w:smartTag w:uri="urn:schemas-microsoft-com:office:smarttags" w:element="metricconverter">
        <w:smartTagPr>
          <w:attr w:name="ProductID" w:val="100 г"/>
        </w:smartTagPr>
        <w:r>
          <w:rPr>
            <w:color w:val="000000"/>
            <w:lang w:val="uk-UA"/>
          </w:rPr>
          <w:t>100 г</w:t>
        </w:r>
      </w:smartTag>
      <w:r>
        <w:rPr>
          <w:color w:val="000000"/>
          <w:lang w:val="uk-UA"/>
        </w:rPr>
        <w:t xml:space="preserve"> аналізованого об'єкта</w:t>
      </w:r>
    </w:p>
    <w:p w:rsidR="00945489" w:rsidRPr="007A4D62" w:rsidRDefault="007A4D62">
      <w:pPr>
        <w:rPr>
          <w:lang w:val="uk-UA"/>
        </w:rPr>
      </w:pPr>
      <w:bookmarkStart w:id="0" w:name="_GoBack"/>
      <w:bookmarkEnd w:id="0"/>
    </w:p>
    <w:sectPr w:rsidR="00945489" w:rsidRPr="007A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62"/>
    <w:rsid w:val="007A4D62"/>
    <w:rsid w:val="00C1391B"/>
    <w:rsid w:val="00FA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15982-5205-47CE-8FFF-06262B43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2023-08-11T10:20:00Z</dcterms:created>
  <dcterms:modified xsi:type="dcterms:W3CDTF">2023-08-11T10:21:00Z</dcterms:modified>
</cp:coreProperties>
</file>